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66673E62"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70290A">
        <w:rPr>
          <w:sz w:val="22"/>
          <w:szCs w:val="22"/>
          <w:lang w:val="lt-LT"/>
        </w:rPr>
        <w:t>1</w:t>
      </w:r>
      <w:r w:rsidR="002D45E7">
        <w:rPr>
          <w:sz w:val="22"/>
          <w:szCs w:val="22"/>
          <w:lang w:val="lt-LT"/>
        </w:rPr>
        <w:t>4</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326"/>
        <w:gridCol w:w="551"/>
        <w:gridCol w:w="326"/>
        <w:gridCol w:w="554"/>
        <w:gridCol w:w="394"/>
        <w:gridCol w:w="396"/>
        <w:gridCol w:w="905"/>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6443463D" w14:textId="77777777" w:rsidR="00C62040" w:rsidRPr="00894EB7" w:rsidRDefault="00FC750A" w:rsidP="00F52A6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 xml:space="preserve">VPS priemonę </w:t>
            </w:r>
            <w:r w:rsidR="00C62040" w:rsidRPr="00A120FC">
              <w:rPr>
                <w:sz w:val="22"/>
                <w:szCs w:val="22"/>
              </w:rPr>
              <w:t xml:space="preserve">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w:t>
            </w:r>
            <w:r w:rsidR="004136C3">
              <w:rPr>
                <w:sz w:val="22"/>
                <w:szCs w:val="22"/>
              </w:rPr>
              <w:t>likos žemės ūkio ministro 201</w:t>
            </w:r>
            <w:r w:rsidR="00771C17">
              <w:rPr>
                <w:sz w:val="22"/>
                <w:szCs w:val="22"/>
              </w:rPr>
              <w:t>9</w:t>
            </w:r>
            <w:r w:rsidR="004136C3">
              <w:rPr>
                <w:sz w:val="22"/>
                <w:szCs w:val="22"/>
              </w:rPr>
              <w:t xml:space="preserve"> m. </w:t>
            </w:r>
            <w:r w:rsidR="00771C17">
              <w:rPr>
                <w:sz w:val="22"/>
                <w:szCs w:val="22"/>
              </w:rPr>
              <w:t>liepos</w:t>
            </w:r>
            <w:r w:rsidR="004136C3">
              <w:rPr>
                <w:sz w:val="22"/>
                <w:szCs w:val="22"/>
              </w:rPr>
              <w:t xml:space="preserve"> </w:t>
            </w:r>
            <w:r w:rsidR="00771C17">
              <w:rPr>
                <w:sz w:val="22"/>
                <w:szCs w:val="22"/>
              </w:rPr>
              <w:t>31</w:t>
            </w:r>
            <w:r w:rsidR="004136C3">
              <w:rPr>
                <w:sz w:val="22"/>
                <w:szCs w:val="22"/>
              </w:rPr>
              <w:t xml:space="preserve"> d. įsakymo Nr. 3D-</w:t>
            </w:r>
            <w:r w:rsidR="00771C17">
              <w:rPr>
                <w:sz w:val="22"/>
                <w:szCs w:val="22"/>
              </w:rPr>
              <w:t>458</w:t>
            </w:r>
            <w:r w:rsidR="004136C3">
              <w:rPr>
                <w:sz w:val="22"/>
                <w:szCs w:val="22"/>
              </w:rPr>
              <w:t xml:space="preserve">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F52A69">
              <w:rPr>
                <w:sz w:val="22"/>
                <w:szCs w:val="22"/>
              </w:rPr>
              <w:t>,</w:t>
            </w:r>
            <w:r w:rsidR="00C62040" w:rsidRPr="00A120FC">
              <w:rPr>
                <w:sz w:val="22"/>
                <w:szCs w:val="22"/>
              </w:rPr>
              <w:t xml:space="preserve"> išskyrus atvejus, kai Vietos projektų administravimo taisyklėse ir šiame FSA nurodyta kitaip.</w:t>
            </w:r>
          </w:p>
        </w:tc>
      </w:tr>
      <w:tr w:rsidR="000D6DC5" w:rsidRPr="00A120FC" w14:paraId="7F7853AE" w14:textId="77777777" w:rsidTr="00771C17">
        <w:trPr>
          <w:trHeight w:val="983"/>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tr w:rsidR="00771C17" w:rsidRPr="00A120FC" w14:paraId="5DC823B4" w14:textId="77777777" w:rsidTr="00771C17">
        <w:trPr>
          <w:trHeight w:val="830"/>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lastRenderedPageBreak/>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326" w:type="dxa"/>
            <w:shd w:val="clear" w:color="auto" w:fill="auto"/>
            <w:vAlign w:val="center"/>
          </w:tcPr>
          <w:p w14:paraId="58B91774" w14:textId="6198A79C" w:rsidR="00BA472C" w:rsidRPr="00BB7089" w:rsidRDefault="002D45E7" w:rsidP="00736A88">
            <w:pPr>
              <w:jc w:val="center"/>
              <w:rPr>
                <w:sz w:val="22"/>
                <w:szCs w:val="22"/>
              </w:rPr>
            </w:pPr>
            <w:r>
              <w:rPr>
                <w:sz w:val="22"/>
                <w:szCs w:val="22"/>
              </w:rPr>
              <w:t>0</w:t>
            </w:r>
          </w:p>
        </w:tc>
        <w:tc>
          <w:tcPr>
            <w:tcW w:w="551"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326" w:type="dxa"/>
            <w:shd w:val="clear" w:color="auto" w:fill="auto"/>
            <w:vAlign w:val="center"/>
          </w:tcPr>
          <w:p w14:paraId="6D826738" w14:textId="4592BE2F" w:rsidR="00BA472C" w:rsidRPr="00BB7089" w:rsidRDefault="002D45E7" w:rsidP="00736A88">
            <w:pPr>
              <w:jc w:val="center"/>
              <w:rPr>
                <w:sz w:val="22"/>
                <w:szCs w:val="22"/>
              </w:rPr>
            </w:pPr>
            <w:r>
              <w:rPr>
                <w:sz w:val="22"/>
                <w:szCs w:val="22"/>
              </w:rPr>
              <w:t>0</w:t>
            </w:r>
          </w:p>
        </w:tc>
        <w:tc>
          <w:tcPr>
            <w:tcW w:w="554" w:type="dxa"/>
            <w:shd w:val="clear" w:color="auto" w:fill="auto"/>
            <w:vAlign w:val="center"/>
          </w:tcPr>
          <w:p w14:paraId="3EBEC522" w14:textId="1D65C8B1" w:rsidR="00BA472C" w:rsidRPr="00BB7089" w:rsidRDefault="002D45E7" w:rsidP="00736A88">
            <w:pPr>
              <w:jc w:val="center"/>
              <w:rPr>
                <w:sz w:val="22"/>
                <w:szCs w:val="22"/>
              </w:rPr>
            </w:pPr>
            <w:r>
              <w:rPr>
                <w:sz w:val="22"/>
                <w:szCs w:val="22"/>
              </w:rPr>
              <w:t>2</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396" w:type="dxa"/>
            <w:shd w:val="clear" w:color="auto" w:fill="auto"/>
            <w:vAlign w:val="center"/>
          </w:tcPr>
          <w:p w14:paraId="2E185EFF" w14:textId="3E46EBE3" w:rsidR="00BA472C" w:rsidRPr="00BB7089" w:rsidRDefault="002D45E7" w:rsidP="00736A88">
            <w:pPr>
              <w:jc w:val="center"/>
              <w:rPr>
                <w:sz w:val="22"/>
                <w:szCs w:val="22"/>
              </w:rPr>
            </w:pPr>
            <w:r>
              <w:rPr>
                <w:sz w:val="22"/>
                <w:szCs w:val="22"/>
              </w:rPr>
              <w:t>2</w:t>
            </w:r>
          </w:p>
        </w:tc>
        <w:tc>
          <w:tcPr>
            <w:tcW w:w="905" w:type="dxa"/>
            <w:shd w:val="clear" w:color="auto" w:fill="auto"/>
            <w:vAlign w:val="center"/>
          </w:tcPr>
          <w:p w14:paraId="78011D26" w14:textId="03412D8B" w:rsidR="00BA472C" w:rsidRPr="00BB7089" w:rsidRDefault="002D45E7" w:rsidP="00736A88">
            <w:pPr>
              <w:jc w:val="center"/>
              <w:rPr>
                <w:sz w:val="22"/>
                <w:szCs w:val="22"/>
              </w:rPr>
            </w:pPr>
            <w:r>
              <w:rPr>
                <w:sz w:val="22"/>
                <w:szCs w:val="22"/>
              </w:rPr>
              <w:t>8</w:t>
            </w:r>
          </w:p>
        </w:tc>
      </w:tr>
      <w:tr w:rsidR="00771C17" w:rsidRPr="00A120FC" w14:paraId="2324CEFC" w14:textId="77777777" w:rsidTr="00771C17">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326" w:type="dxa"/>
            <w:shd w:val="clear" w:color="auto" w:fill="auto"/>
            <w:vAlign w:val="center"/>
          </w:tcPr>
          <w:p w14:paraId="78878F7B" w14:textId="25ACAE7F" w:rsidR="00BA472C" w:rsidRPr="00BB7089" w:rsidRDefault="002D45E7" w:rsidP="00736A88">
            <w:pPr>
              <w:jc w:val="center"/>
              <w:rPr>
                <w:sz w:val="22"/>
                <w:szCs w:val="22"/>
              </w:rPr>
            </w:pPr>
            <w:r>
              <w:rPr>
                <w:sz w:val="22"/>
                <w:szCs w:val="22"/>
              </w:rPr>
              <w:t>0</w:t>
            </w:r>
          </w:p>
        </w:tc>
        <w:tc>
          <w:tcPr>
            <w:tcW w:w="551"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326" w:type="dxa"/>
            <w:shd w:val="clear" w:color="auto" w:fill="auto"/>
            <w:vAlign w:val="center"/>
          </w:tcPr>
          <w:p w14:paraId="087CECCE" w14:textId="0F74DA54" w:rsidR="00BA472C" w:rsidRPr="00BB7089" w:rsidRDefault="002D45E7" w:rsidP="00736A88">
            <w:pPr>
              <w:jc w:val="center"/>
              <w:rPr>
                <w:sz w:val="22"/>
                <w:szCs w:val="22"/>
              </w:rPr>
            </w:pPr>
            <w:r>
              <w:rPr>
                <w:sz w:val="22"/>
                <w:szCs w:val="22"/>
              </w:rPr>
              <w:t>0</w:t>
            </w:r>
          </w:p>
        </w:tc>
        <w:tc>
          <w:tcPr>
            <w:tcW w:w="554" w:type="dxa"/>
            <w:shd w:val="clear" w:color="auto" w:fill="auto"/>
            <w:vAlign w:val="center"/>
          </w:tcPr>
          <w:p w14:paraId="3B9543BF" w14:textId="4502ED40" w:rsidR="00BA472C" w:rsidRPr="00BB7089" w:rsidRDefault="002D45E7" w:rsidP="00736A88">
            <w:pPr>
              <w:jc w:val="center"/>
              <w:rPr>
                <w:sz w:val="22"/>
                <w:szCs w:val="22"/>
              </w:rPr>
            </w:pPr>
            <w:r>
              <w:rPr>
                <w:sz w:val="22"/>
                <w:szCs w:val="22"/>
              </w:rPr>
              <w:t>3</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396" w:type="dxa"/>
            <w:shd w:val="clear" w:color="auto" w:fill="auto"/>
            <w:vAlign w:val="center"/>
          </w:tcPr>
          <w:p w14:paraId="19C7C71B" w14:textId="74368F86" w:rsidR="00BA472C" w:rsidRPr="00BB7089" w:rsidRDefault="002D45E7" w:rsidP="00736A88">
            <w:pPr>
              <w:jc w:val="center"/>
              <w:rPr>
                <w:sz w:val="22"/>
                <w:szCs w:val="22"/>
              </w:rPr>
            </w:pPr>
            <w:r>
              <w:rPr>
                <w:sz w:val="22"/>
                <w:szCs w:val="22"/>
              </w:rPr>
              <w:t>3</w:t>
            </w:r>
          </w:p>
        </w:tc>
        <w:tc>
          <w:tcPr>
            <w:tcW w:w="905" w:type="dxa"/>
            <w:shd w:val="clear" w:color="auto" w:fill="auto"/>
            <w:vAlign w:val="center"/>
          </w:tcPr>
          <w:p w14:paraId="202E1693" w14:textId="77777777" w:rsidR="00BA472C" w:rsidRPr="00BB7089" w:rsidRDefault="00F91C48" w:rsidP="00736A88">
            <w:pPr>
              <w:jc w:val="center"/>
              <w:rPr>
                <w:sz w:val="22"/>
                <w:szCs w:val="22"/>
              </w:rPr>
            </w:pPr>
            <w:r>
              <w:rPr>
                <w:sz w:val="22"/>
                <w:szCs w:val="22"/>
              </w:rPr>
              <w:t>1</w:t>
            </w:r>
          </w:p>
        </w:tc>
      </w:tr>
      <w:tr w:rsidR="00771C17" w:rsidRPr="00A120FC" w14:paraId="46651A6D" w14:textId="77777777" w:rsidTr="00771C17">
        <w:trPr>
          <w:trHeight w:val="548"/>
        </w:trPr>
        <w:tc>
          <w:tcPr>
            <w:tcW w:w="743" w:type="dxa"/>
            <w:shd w:val="clear" w:color="auto" w:fill="auto"/>
            <w:vAlign w:val="center"/>
          </w:tcPr>
          <w:p w14:paraId="56255B42" w14:textId="77777777" w:rsidR="00771C17" w:rsidRPr="00A120FC" w:rsidRDefault="00771C17" w:rsidP="00736A88">
            <w:pPr>
              <w:jc w:val="center"/>
              <w:rPr>
                <w:sz w:val="22"/>
                <w:szCs w:val="22"/>
              </w:rPr>
            </w:pPr>
            <w:r>
              <w:rPr>
                <w:sz w:val="22"/>
                <w:szCs w:val="22"/>
              </w:rPr>
              <w:t>1.4</w:t>
            </w:r>
          </w:p>
        </w:tc>
        <w:tc>
          <w:tcPr>
            <w:tcW w:w="5322" w:type="dxa"/>
            <w:shd w:val="clear" w:color="auto" w:fill="auto"/>
            <w:vAlign w:val="center"/>
          </w:tcPr>
          <w:p w14:paraId="722AD847" w14:textId="77777777" w:rsidR="00771C17" w:rsidRPr="00A120FC" w:rsidRDefault="00771C17" w:rsidP="00736A88">
            <w:pPr>
              <w:rPr>
                <w:sz w:val="22"/>
                <w:szCs w:val="22"/>
              </w:rPr>
            </w:pPr>
            <w:r w:rsidRPr="0094229D">
              <w:rPr>
                <w:sz w:val="22"/>
                <w:szCs w:val="22"/>
              </w:rPr>
              <w:t>FSA patvirtinta VPS vykdytojos</w:t>
            </w:r>
          </w:p>
        </w:tc>
        <w:tc>
          <w:tcPr>
            <w:tcW w:w="486" w:type="dxa"/>
            <w:shd w:val="clear" w:color="auto" w:fill="auto"/>
          </w:tcPr>
          <w:p w14:paraId="70B80BCF" w14:textId="77777777" w:rsidR="00771C17" w:rsidRPr="00C26CA9" w:rsidRDefault="00771C17" w:rsidP="002D45E7">
            <w:pPr>
              <w:jc w:val="center"/>
              <w:rPr>
                <w:color w:val="FF0000"/>
                <w:sz w:val="22"/>
                <w:szCs w:val="22"/>
              </w:rPr>
            </w:pPr>
            <w:r>
              <w:rPr>
                <w:sz w:val="22"/>
                <w:szCs w:val="22"/>
              </w:rPr>
              <w:t>2</w:t>
            </w:r>
          </w:p>
        </w:tc>
        <w:tc>
          <w:tcPr>
            <w:tcW w:w="422" w:type="dxa"/>
            <w:shd w:val="clear" w:color="auto" w:fill="auto"/>
          </w:tcPr>
          <w:p w14:paraId="5FA9F351" w14:textId="77777777" w:rsidR="00771C17" w:rsidRPr="00794A28" w:rsidRDefault="00771C17" w:rsidP="002D45E7">
            <w:pPr>
              <w:jc w:val="center"/>
              <w:rPr>
                <w:sz w:val="22"/>
                <w:szCs w:val="22"/>
              </w:rPr>
            </w:pPr>
            <w:r>
              <w:rPr>
                <w:sz w:val="22"/>
                <w:szCs w:val="22"/>
              </w:rPr>
              <w:t>0</w:t>
            </w:r>
          </w:p>
        </w:tc>
        <w:tc>
          <w:tcPr>
            <w:tcW w:w="422" w:type="dxa"/>
            <w:shd w:val="clear" w:color="auto" w:fill="auto"/>
          </w:tcPr>
          <w:p w14:paraId="15E852A7" w14:textId="0C914A7D" w:rsidR="00771C17" w:rsidRPr="00794A28" w:rsidRDefault="002D45E7" w:rsidP="002D45E7">
            <w:pPr>
              <w:jc w:val="center"/>
              <w:rPr>
                <w:sz w:val="22"/>
                <w:szCs w:val="22"/>
              </w:rPr>
            </w:pPr>
            <w:r>
              <w:rPr>
                <w:sz w:val="22"/>
                <w:szCs w:val="22"/>
              </w:rPr>
              <w:t>2</w:t>
            </w:r>
          </w:p>
        </w:tc>
        <w:tc>
          <w:tcPr>
            <w:tcW w:w="422" w:type="dxa"/>
            <w:shd w:val="clear" w:color="auto" w:fill="auto"/>
          </w:tcPr>
          <w:p w14:paraId="0CB79D8C" w14:textId="778067AF" w:rsidR="00771C17" w:rsidRPr="00794A28" w:rsidRDefault="002D45E7" w:rsidP="002D45E7">
            <w:pPr>
              <w:jc w:val="center"/>
              <w:rPr>
                <w:sz w:val="22"/>
                <w:szCs w:val="22"/>
              </w:rPr>
            </w:pPr>
            <w:r>
              <w:rPr>
                <w:sz w:val="22"/>
                <w:szCs w:val="22"/>
              </w:rPr>
              <w:t>0</w:t>
            </w:r>
          </w:p>
        </w:tc>
        <w:tc>
          <w:tcPr>
            <w:tcW w:w="422" w:type="dxa"/>
            <w:shd w:val="clear" w:color="auto" w:fill="auto"/>
          </w:tcPr>
          <w:p w14:paraId="7B23C545" w14:textId="77777777" w:rsidR="00771C17" w:rsidRPr="00794A28" w:rsidRDefault="00771C17" w:rsidP="002D45E7">
            <w:pPr>
              <w:jc w:val="center"/>
              <w:rPr>
                <w:sz w:val="22"/>
                <w:szCs w:val="22"/>
              </w:rPr>
            </w:pPr>
            <w:r>
              <w:rPr>
                <w:sz w:val="22"/>
                <w:szCs w:val="22"/>
              </w:rPr>
              <w:t>-</w:t>
            </w:r>
          </w:p>
        </w:tc>
        <w:tc>
          <w:tcPr>
            <w:tcW w:w="545" w:type="dxa"/>
            <w:shd w:val="clear" w:color="auto" w:fill="auto"/>
          </w:tcPr>
          <w:p w14:paraId="2653D7DC" w14:textId="77777777" w:rsidR="00771C17" w:rsidRPr="00794A28" w:rsidRDefault="00771C17" w:rsidP="002D45E7">
            <w:pPr>
              <w:jc w:val="center"/>
              <w:rPr>
                <w:sz w:val="22"/>
                <w:szCs w:val="22"/>
              </w:rPr>
            </w:pPr>
            <w:r>
              <w:rPr>
                <w:sz w:val="22"/>
                <w:szCs w:val="22"/>
              </w:rPr>
              <w:t>0</w:t>
            </w:r>
          </w:p>
        </w:tc>
        <w:tc>
          <w:tcPr>
            <w:tcW w:w="425" w:type="dxa"/>
            <w:shd w:val="clear" w:color="auto" w:fill="auto"/>
          </w:tcPr>
          <w:p w14:paraId="798CED0F" w14:textId="455465AD" w:rsidR="00771C17" w:rsidRPr="00794A28" w:rsidRDefault="002D45E7" w:rsidP="002D45E7">
            <w:pPr>
              <w:jc w:val="center"/>
              <w:rPr>
                <w:sz w:val="22"/>
                <w:szCs w:val="22"/>
              </w:rPr>
            </w:pPr>
            <w:r>
              <w:rPr>
                <w:sz w:val="22"/>
                <w:szCs w:val="22"/>
              </w:rPr>
              <w:t>1</w:t>
            </w:r>
          </w:p>
        </w:tc>
        <w:tc>
          <w:tcPr>
            <w:tcW w:w="425" w:type="dxa"/>
            <w:shd w:val="clear" w:color="auto" w:fill="auto"/>
          </w:tcPr>
          <w:p w14:paraId="2E6F45FF" w14:textId="77777777" w:rsidR="00771C17" w:rsidRPr="00794A28" w:rsidRDefault="00771C17" w:rsidP="002D45E7">
            <w:pPr>
              <w:jc w:val="center"/>
              <w:rPr>
                <w:sz w:val="22"/>
                <w:szCs w:val="22"/>
              </w:rPr>
            </w:pPr>
            <w:r>
              <w:rPr>
                <w:sz w:val="22"/>
                <w:szCs w:val="22"/>
              </w:rPr>
              <w:t>-</w:t>
            </w:r>
          </w:p>
        </w:tc>
        <w:tc>
          <w:tcPr>
            <w:tcW w:w="426" w:type="dxa"/>
            <w:shd w:val="clear" w:color="auto" w:fill="auto"/>
          </w:tcPr>
          <w:p w14:paraId="7DDD10B0" w14:textId="77777777" w:rsidR="00771C17" w:rsidRPr="00794A28" w:rsidRDefault="0070290A" w:rsidP="002D45E7">
            <w:pPr>
              <w:jc w:val="center"/>
              <w:rPr>
                <w:sz w:val="22"/>
                <w:szCs w:val="22"/>
              </w:rPr>
            </w:pPr>
            <w:r>
              <w:rPr>
                <w:sz w:val="22"/>
                <w:szCs w:val="22"/>
              </w:rPr>
              <w:t>1</w:t>
            </w:r>
          </w:p>
        </w:tc>
        <w:tc>
          <w:tcPr>
            <w:tcW w:w="463" w:type="dxa"/>
            <w:shd w:val="clear" w:color="auto" w:fill="auto"/>
          </w:tcPr>
          <w:p w14:paraId="24D633F7" w14:textId="51F9D22B" w:rsidR="00771C17" w:rsidRPr="00794A28" w:rsidRDefault="002D45E7" w:rsidP="002D45E7">
            <w:pPr>
              <w:jc w:val="center"/>
              <w:rPr>
                <w:sz w:val="22"/>
                <w:szCs w:val="22"/>
              </w:rPr>
            </w:pPr>
            <w:r>
              <w:rPr>
                <w:sz w:val="22"/>
                <w:szCs w:val="22"/>
              </w:rPr>
              <w:t>6</w:t>
            </w:r>
          </w:p>
        </w:tc>
        <w:tc>
          <w:tcPr>
            <w:tcW w:w="882" w:type="dxa"/>
            <w:gridSpan w:val="3"/>
            <w:shd w:val="clear" w:color="auto" w:fill="auto"/>
          </w:tcPr>
          <w:p w14:paraId="4894404E" w14:textId="77777777" w:rsidR="00771C17" w:rsidRPr="00794A28" w:rsidRDefault="00771C17" w:rsidP="002D45E7">
            <w:pPr>
              <w:jc w:val="center"/>
              <w:rPr>
                <w:sz w:val="22"/>
                <w:szCs w:val="22"/>
              </w:rPr>
            </w:pPr>
          </w:p>
        </w:tc>
        <w:tc>
          <w:tcPr>
            <w:tcW w:w="3758" w:type="dxa"/>
            <w:gridSpan w:val="8"/>
            <w:shd w:val="clear" w:color="auto" w:fill="auto"/>
          </w:tcPr>
          <w:p w14:paraId="7A73C54D" w14:textId="305AF632" w:rsidR="00771C17" w:rsidRPr="00794A28" w:rsidRDefault="0070290A" w:rsidP="002D45E7">
            <w:pPr>
              <w:jc w:val="center"/>
              <w:rPr>
                <w:sz w:val="22"/>
                <w:szCs w:val="22"/>
              </w:rPr>
            </w:pPr>
            <w:r>
              <w:rPr>
                <w:color w:val="000000" w:themeColor="text1"/>
                <w:sz w:val="22"/>
                <w:szCs w:val="22"/>
              </w:rPr>
              <w:t>Trakų krašto VVG v</w:t>
            </w:r>
            <w:r w:rsidR="002D45E7">
              <w:rPr>
                <w:color w:val="000000" w:themeColor="text1"/>
                <w:sz w:val="22"/>
                <w:szCs w:val="22"/>
              </w:rPr>
              <w:t>aldybos</w:t>
            </w:r>
            <w:r>
              <w:rPr>
                <w:color w:val="000000" w:themeColor="text1"/>
                <w:sz w:val="22"/>
                <w:szCs w:val="22"/>
              </w:rPr>
              <w:t xml:space="preserve"> protokolo Nr. </w:t>
            </w:r>
            <w:r w:rsidR="002D45E7">
              <w:rPr>
                <w:color w:val="000000" w:themeColor="text1"/>
                <w:sz w:val="22"/>
                <w:szCs w:val="22"/>
              </w:rPr>
              <w:t>1</w:t>
            </w:r>
            <w:r w:rsidRPr="00771C17">
              <w:rPr>
                <w:color w:val="000000" w:themeColor="text1"/>
                <w:sz w:val="22"/>
                <w:szCs w:val="22"/>
              </w:rPr>
              <w:t xml:space="preserve"> sprendimu.</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2AE5B0B3" w14:textId="77777777"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0A192A6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p>
        </w:tc>
      </w:tr>
      <w:tr w:rsidR="002700E0" w:rsidRPr="00A120FC" w14:paraId="4DD4FF62" w14:textId="77777777" w:rsidTr="00771C17">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stiprinant materialinę bazę,</w:t>
            </w:r>
          </w:p>
          <w:p w14:paraId="6E87991F"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77777777" w:rsidR="00F14432" w:rsidRPr="00413714" w:rsidRDefault="00F14432" w:rsidP="00F14432">
            <w:pPr>
              <w:pStyle w:val="Sraopastraipa"/>
              <w:numPr>
                <w:ilvl w:val="0"/>
                <w:numId w:val="8"/>
              </w:numPr>
              <w:jc w:val="both"/>
              <w:rPr>
                <w:i/>
                <w:sz w:val="22"/>
                <w:szCs w:val="22"/>
              </w:rPr>
            </w:pPr>
            <w:r w:rsidRPr="00413714">
              <w:rPr>
                <w:i/>
                <w:sz w:val="22"/>
                <w:szCs w:val="22"/>
              </w:rPr>
              <w:t>vykdant edukacines tradicinių amatų ir paveldo išsaugojimo bei sklaidos  programas.</w:t>
            </w:r>
          </w:p>
          <w:p w14:paraId="6C85387D" w14:textId="027BB9C3" w:rsidR="00F5325B" w:rsidRPr="00413714"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77777777" w:rsidR="009C6EC3" w:rsidRPr="00894EB7" w:rsidRDefault="00533059" w:rsidP="00F14432">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9098" w:type="dxa"/>
            <w:gridSpan w:val="21"/>
            <w:shd w:val="clear" w:color="auto" w:fill="auto"/>
          </w:tcPr>
          <w:p w14:paraId="0D29F0AD" w14:textId="4C42738B" w:rsidR="009C6EC3" w:rsidRPr="00A9181A" w:rsidRDefault="002D45E7" w:rsidP="00F14432">
            <w:pPr>
              <w:jc w:val="both"/>
              <w:rPr>
                <w:i/>
                <w:color w:val="FF0000"/>
              </w:rPr>
            </w:pPr>
            <w:r>
              <w:t>37 198</w:t>
            </w:r>
            <w:r w:rsidR="00467E64">
              <w:t>,00</w:t>
            </w:r>
            <w:r w:rsidR="00F14432" w:rsidRPr="00A9181A">
              <w:t xml:space="preserve"> 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0CBCB810" w:rsidR="00020551" w:rsidRPr="00A9181A" w:rsidRDefault="00F14432" w:rsidP="008156B1">
            <w:pPr>
              <w:jc w:val="both"/>
              <w:rPr>
                <w:i/>
              </w:rPr>
            </w:pPr>
            <w:r w:rsidRPr="00A9181A">
              <w:t>18 599,00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 xml:space="preserve">Iki 95 proc. tinkamų finansuoti išlaidų, kai vietos projekto išlaidos, susijusios su investicijomis į žmogiškąjį kapitalą, o projektas yra veiklos (vietos veiklos projektu laikomas toks vietos projektas, </w:t>
            </w:r>
            <w:r>
              <w:rPr>
                <w:rFonts w:ascii="Times New Roman" w:hAnsi="Times New Roman" w:cs="Times New Roman"/>
                <w:bCs/>
                <w:iCs/>
                <w:sz w:val="22"/>
                <w:szCs w:val="22"/>
                <w:lang w:val="lt-LT"/>
              </w:rPr>
              <w:lastRenderedPageBreak/>
              <w:t>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lastRenderedPageBreak/>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lastRenderedPageBreak/>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77777777"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(arba) priemonių ir medžiagų</w:t>
            </w:r>
            <w:r w:rsidR="00FF4056" w:rsidRPr="00794A28">
              <w:rPr>
                <w:sz w:val="22"/>
                <w:szCs w:val="22"/>
              </w:rPr>
              <w:t xml:space="preserve"> teikėjų, prekiaujančių panašiom</w:t>
            </w:r>
            <w:r w:rsidR="00FF4056">
              <w:rPr>
                <w:sz w:val="22"/>
                <w:szCs w:val="22"/>
              </w:rPr>
              <w:t xml:space="preserve">is prekėmis ir (arba) priemonėmis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77777777" w:rsidR="00AD130C" w:rsidRPr="00794A28" w:rsidRDefault="00AD130C" w:rsidP="00FF4056">
            <w:pPr>
              <w:jc w:val="both"/>
              <w:rPr>
                <w:i/>
                <w:sz w:val="22"/>
                <w:szCs w:val="22"/>
              </w:rPr>
            </w:pPr>
            <w:r w:rsidRPr="00AD130C">
              <w:rPr>
                <w:sz w:val="22"/>
                <w:szCs w:val="22"/>
              </w:rPr>
              <w:t xml:space="preserve">Pagrįsta </w:t>
            </w:r>
            <w:r w:rsidRPr="00794A28">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(arba) priemonių ir medžiagų</w:t>
            </w:r>
            <w:r w:rsidRPr="00794A28">
              <w:rPr>
                <w:sz w:val="22"/>
                <w:szCs w:val="22"/>
              </w:rPr>
              <w:t xml:space="preserve"> teikėjų, prekiaujančių panašiom</w:t>
            </w:r>
            <w:r>
              <w:rPr>
                <w:sz w:val="22"/>
                <w:szCs w:val="22"/>
              </w:rPr>
              <w:t xml:space="preserve">is prekėmis ir (arba) priemonėmis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w:t>
            </w:r>
            <w:r w:rsidRPr="00794A28">
              <w:rPr>
                <w:sz w:val="22"/>
                <w:szCs w:val="22"/>
              </w:rPr>
              <w:lastRenderedPageBreak/>
              <w:t>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lastRenderedPageBreak/>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w:t>
            </w:r>
            <w:r w:rsidRPr="00C82D6D">
              <w:rPr>
                <w:color w:val="000000" w:themeColor="text1"/>
              </w:rPr>
              <w:lastRenderedPageBreak/>
              <w:t>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3E89AAD0" w14:textId="77777777" w:rsidR="00D7347C" w:rsidRPr="00A120FC" w:rsidRDefault="006A0D62" w:rsidP="00D7347C">
            <w:pPr>
              <w:jc w:val="both"/>
              <w:rPr>
                <w:b/>
                <w:sz w:val="22"/>
                <w:szCs w:val="22"/>
              </w:rPr>
            </w:pPr>
            <w:r w:rsidRPr="00794A28">
              <w:rPr>
                <w:sz w:val="22"/>
                <w:szCs w:val="22"/>
              </w:rPr>
              <w:t>Pareiškėjo registracijos vieta turi būti VVG teritorijos vietovėje</w:t>
            </w:r>
            <w:r w:rsidR="00AD130C">
              <w:rPr>
                <w:sz w:val="22"/>
                <w:szCs w:val="22"/>
              </w:rPr>
              <w:t>.</w:t>
            </w: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 xml:space="preserve">vykdoma VVG teritorijoje ir (arba) kitų Lietuvos Respublikos </w:t>
            </w:r>
            <w:r w:rsidR="00B55F8A">
              <w:rPr>
                <w:sz w:val="22"/>
                <w:szCs w:val="22"/>
              </w:rPr>
              <w:lastRenderedPageBreak/>
              <w:t>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lastRenderedPageBreak/>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 xml:space="preserve">Vertinama pagal galutinėje vietos projekto įgyvendinimo ataskaitoje </w:t>
            </w:r>
            <w:r w:rsidRPr="00794A28">
              <w:rPr>
                <w:sz w:val="22"/>
                <w:szCs w:val="22"/>
              </w:rPr>
              <w:lastRenderedPageBreak/>
              <w:t>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77777777"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ipersaitas"/>
                <w:rFonts w:ascii="Times New Roman" w:hAnsi="Times New Roman" w:cs="Times New Roman"/>
                <w:color w:val="auto"/>
                <w:sz w:val="22"/>
                <w:szCs w:val="22"/>
                <w:u w:val="none"/>
                <w:lang w:val="lt-LT"/>
              </w:rPr>
              <w:t>notariato įstatymo</w:t>
            </w:r>
            <w:bookmarkStart w:id="1" w:name="pn1_150"/>
            <w:bookmarkEnd w:id="0"/>
            <w:bookmarkEnd w:id="1"/>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501D1415" w14:textId="75BB64B0" w:rsidR="00A96DBF" w:rsidRDefault="00A96DBF" w:rsidP="00CF255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p>
          <w:p w14:paraId="7E8A2CC6" w14:textId="77777777" w:rsidR="004A3492" w:rsidRPr="004A3492" w:rsidRDefault="004A3492" w:rsidP="00736A88">
            <w:pPr>
              <w:pStyle w:val="BodyText10"/>
              <w:ind w:firstLine="0"/>
              <w:rPr>
                <w:rFonts w:ascii="Times New Roman" w:hAnsi="Times New Roman" w:cs="Times New Roman"/>
                <w:sz w:val="22"/>
                <w:szCs w:val="22"/>
              </w:rPr>
            </w:pPr>
            <w:bookmarkStart w:id="2" w:name="_GoBack"/>
            <w:bookmarkEnd w:id="2"/>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5884F59" w14:textId="77777777" w:rsidR="00CD3D97" w:rsidRDefault="00CD3D97" w:rsidP="00CD3D97">
            <w:pPr>
              <w:pStyle w:val="BodyText10"/>
              <w:ind w:firstLine="0"/>
              <w:rPr>
                <w:rFonts w:ascii="Times New Roman" w:hAnsi="Times New Roman" w:cs="Times New Roman"/>
                <w:sz w:val="22"/>
                <w:szCs w:val="22"/>
              </w:rPr>
            </w:pPr>
            <w:r>
              <w:rPr>
                <w:rFonts w:ascii="Times New Roman" w:hAnsi="Times New Roman" w:cs="Times New Roman"/>
                <w:sz w:val="22"/>
                <w:szCs w:val="22"/>
              </w:rPr>
              <w:t>4.6</w:t>
            </w:r>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Lietuvos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Respublikos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Ju</w:t>
            </w:r>
            <w:r>
              <w:rPr>
                <w:rFonts w:ascii="Times New Roman" w:hAnsi="Times New Roman" w:cs="Times New Roman"/>
                <w:sz w:val="22"/>
                <w:szCs w:val="22"/>
              </w:rPr>
              <w:t>ridinių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p>
          <w:p w14:paraId="3958F4EE" w14:textId="77777777" w:rsidR="00CD3D97" w:rsidRPr="00540659" w:rsidRDefault="00CD3D97" w:rsidP="00E05AC0">
            <w:pPr>
              <w:pStyle w:val="BodyText10"/>
              <w:ind w:firstLine="0"/>
              <w:rPr>
                <w:rFonts w:ascii="Times New Roman" w:hAnsi="Times New Roman" w:cs="Times New Roman"/>
                <w:sz w:val="22"/>
                <w:szCs w:val="22"/>
                <w:lang w:val="lt-LT"/>
              </w:rPr>
            </w:pPr>
          </w:p>
          <w:p w14:paraId="24B92202"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703EA">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Pr="00250C81">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77777777"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ir verslo plano versija (kompaktiniame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2"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77EC" w14:textId="77777777" w:rsidR="00776C1B" w:rsidRDefault="00776C1B" w:rsidP="0056536E">
      <w:r>
        <w:separator/>
      </w:r>
    </w:p>
  </w:endnote>
  <w:endnote w:type="continuationSeparator" w:id="0">
    <w:p w14:paraId="1F715087" w14:textId="77777777" w:rsidR="00776C1B" w:rsidRDefault="00776C1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EFF1" w14:textId="77777777" w:rsidR="00776C1B" w:rsidRDefault="00776C1B" w:rsidP="0056536E">
      <w:r>
        <w:separator/>
      </w:r>
    </w:p>
  </w:footnote>
  <w:footnote w:type="continuationSeparator" w:id="0">
    <w:p w14:paraId="53DA3C4D" w14:textId="77777777" w:rsidR="00776C1B" w:rsidRDefault="00776C1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E2E7" w14:textId="77777777" w:rsidR="0004606D" w:rsidRDefault="00C25C80">
    <w:pPr>
      <w:pStyle w:val="Antrats"/>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F8EE-5DF8-42EE-AE66-94BA36C7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6371</Words>
  <Characters>36315</Characters>
  <Application>Microsoft Office Word</Application>
  <DocSecurity>0</DocSecurity>
  <Lines>302</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42601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8</cp:revision>
  <cp:lastPrinted>2017-06-21T07:18:00Z</cp:lastPrinted>
  <dcterms:created xsi:type="dcterms:W3CDTF">2019-10-02T10:00:00Z</dcterms:created>
  <dcterms:modified xsi:type="dcterms:W3CDTF">2020-02-21T12:13:00Z</dcterms:modified>
</cp:coreProperties>
</file>